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14:paraId="6786D772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773FB91" w14:textId="3FA362BB" w:rsidR="006C3F7F" w:rsidRPr="008517B5" w:rsidRDefault="0095565E" w:rsidP="005241A2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 w:rsidR="005241A2">
              <w:tab/>
            </w:r>
          </w:p>
        </w:tc>
      </w:tr>
      <w:tr w:rsidR="0089638D" w14:paraId="25A28A6F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B040E3A" w14:textId="086EE9A5" w:rsidR="0089638D" w:rsidRDefault="00CE2C4E" w:rsidP="00FA009E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F8D0A5E" w14:textId="1B26D558" w:rsidR="005241A2" w:rsidRDefault="00144F5B" w:rsidP="00E62942">
      <w:pPr>
        <w:pStyle w:val="Bezmezer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54A38B" wp14:editId="53A88043">
                <wp:simplePos x="0" y="0"/>
                <wp:positionH relativeFrom="margin">
                  <wp:posOffset>3640455</wp:posOffset>
                </wp:positionH>
                <wp:positionV relativeFrom="page">
                  <wp:posOffset>715645</wp:posOffset>
                </wp:positionV>
                <wp:extent cx="2432050" cy="33337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2050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E05064" w14:textId="4B83965A" w:rsidR="0042761D" w:rsidRDefault="005241A2" w:rsidP="00CE2C4E">
                            <w:pPr>
                              <w:spacing w:before="5"/>
                              <w:ind w:left="20"/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161A48"/>
                                <w:sz w:val="28"/>
                                <w:szCs w:val="28"/>
                              </w:rPr>
                              <w:t>SOUHRN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4A38B" id="_x0000_t202" coordsize="21600,21600" o:spt="202" path="m,l,21600r21600,l21600,xe">
                <v:stroke joinstyle="miter"/>
                <v:path gradientshapeok="t" o:connecttype="rect"/>
              </v:shapetype>
              <v:shape id="Textbox 46" o:spid="_x0000_s1026" type="#_x0000_t202" style="position:absolute;margin-left:286.65pt;margin-top:56.35pt;width:191.5pt;height:26.2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" filled="f" stroked="f">
                <v:textbox inset="0,0,0,0">
                  <w:txbxContent>
                    <w:p w14:paraId="25E05064" w14:textId="4B83965A" w:rsidR="0042761D" w:rsidRDefault="005241A2" w:rsidP="00CE2C4E">
                      <w:pPr>
                        <w:spacing w:before="5"/>
                        <w:ind w:left="20"/>
                        <w:jc w:val="right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color w:val="161A48"/>
                          <w:sz w:val="28"/>
                          <w:szCs w:val="28"/>
                        </w:rPr>
                        <w:t>SOUHRN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pPr w:leftFromText="141" w:rightFromText="141" w:vertAnchor="page" w:horzAnchor="margin" w:tblpY="29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337"/>
      </w:tblGrid>
      <w:tr w:rsidR="005241A2" w:rsidRPr="00DE2BC0" w14:paraId="4804DF3D" w14:textId="77777777" w:rsidTr="005241A2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1E4F5" w:themeFill="accent1" w:themeFillTint="33"/>
            <w:vAlign w:val="center"/>
          </w:tcPr>
          <w:p w14:paraId="72D36674" w14:textId="3C9525B5" w:rsidR="005241A2" w:rsidRPr="00BF1C46" w:rsidRDefault="005F41A5" w:rsidP="005241A2">
            <w:pPr>
              <w:spacing w:before="120" w:after="120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bCs/>
                <w:color w:val="0070C0"/>
                <w:sz w:val="28"/>
                <w:szCs w:val="28"/>
              </w:rPr>
              <w:t xml:space="preserve">Open Access </w:t>
            </w:r>
          </w:p>
        </w:tc>
        <w:tc>
          <w:tcPr>
            <w:tcW w:w="333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1E4F5" w:themeFill="accent1" w:themeFillTint="33"/>
            <w:vAlign w:val="center"/>
          </w:tcPr>
          <w:p w14:paraId="330E55F8" w14:textId="62E60E9A" w:rsidR="005241A2" w:rsidRPr="009870E8" w:rsidRDefault="005241A2" w:rsidP="005241A2">
            <w:pPr>
              <w:spacing w:before="120" w:after="120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4</w:t>
            </w:r>
            <w:r w:rsidR="005F41A5">
              <w:rPr>
                <w:b/>
                <w:color w:val="0070C0"/>
                <w:sz w:val="28"/>
                <w:szCs w:val="28"/>
              </w:rPr>
              <w:t>14</w:t>
            </w:r>
            <w:r>
              <w:rPr>
                <w:b/>
                <w:color w:val="0070C0"/>
                <w:sz w:val="28"/>
                <w:szCs w:val="28"/>
              </w:rPr>
              <w:t>/A</w:t>
            </w:r>
            <w:r w:rsidR="005F41A5">
              <w:rPr>
                <w:b/>
                <w:color w:val="0070C0"/>
                <w:sz w:val="28"/>
                <w:szCs w:val="28"/>
              </w:rPr>
              <w:t>8</w:t>
            </w:r>
          </w:p>
        </w:tc>
      </w:tr>
      <w:tr w:rsidR="005241A2" w:rsidRPr="00DE2BC0" w14:paraId="7B759CEE" w14:textId="77777777" w:rsidTr="002D3C4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DF50052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Předkládá</w:t>
            </w:r>
          </w:p>
        </w:tc>
        <w:tc>
          <w:tcPr>
            <w:tcW w:w="567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bottom"/>
          </w:tcPr>
          <w:p w14:paraId="3B1A4FD6" w14:textId="2B81BF49" w:rsidR="005241A2" w:rsidRPr="002D3C4B" w:rsidRDefault="005F41A5" w:rsidP="002D3C4B">
            <w:pPr>
              <w:spacing w:before="120" w:after="120"/>
              <w:jc w:val="left"/>
              <w:rPr>
                <w:bCs/>
                <w:i/>
              </w:rPr>
            </w:pPr>
            <w:r>
              <w:rPr>
                <w:bCs/>
                <w:i/>
              </w:rPr>
              <w:t>prof. Polívka</w:t>
            </w:r>
          </w:p>
        </w:tc>
      </w:tr>
      <w:tr w:rsidR="005241A2" w:rsidRPr="00DE2BC0" w14:paraId="0B9DD80E" w14:textId="77777777" w:rsidTr="002D3C4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vAlign w:val="center"/>
          </w:tcPr>
          <w:p w14:paraId="6A124EA5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 w:rsidRPr="008F77F6">
              <w:rPr>
                <w:b/>
                <w:i/>
                <w:noProof/>
              </w:rPr>
              <w:t>Zpracovatel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útvar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datum</w:t>
            </w:r>
          </w:p>
        </w:tc>
        <w:tc>
          <w:tcPr>
            <w:tcW w:w="56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5B5FF744" w14:textId="128B7046" w:rsidR="005241A2" w:rsidRPr="002D3C4B" w:rsidRDefault="005F41A5" w:rsidP="002D3C4B">
            <w:pPr>
              <w:spacing w:before="120" w:after="120"/>
              <w:jc w:val="left"/>
              <w:rPr>
                <w:bCs/>
                <w:i/>
              </w:rPr>
            </w:pPr>
            <w:r>
              <w:rPr>
                <w:bCs/>
                <w:i/>
                <w:noProof/>
              </w:rPr>
              <w:t>Sekce pro vědu, výzkum a inovace,</w:t>
            </w:r>
            <w:r w:rsidR="005241A2" w:rsidRPr="002D3C4B">
              <w:rPr>
                <w:bCs/>
                <w:i/>
                <w:noProof/>
              </w:rPr>
              <w:t xml:space="preserve"> </w:t>
            </w:r>
            <w:r w:rsidR="002F7317">
              <w:rPr>
                <w:bCs/>
                <w:i/>
                <w:noProof/>
              </w:rPr>
              <w:t>16</w:t>
            </w:r>
            <w:r w:rsidR="005241A2" w:rsidRPr="002D3C4B">
              <w:rPr>
                <w:bCs/>
                <w:i/>
                <w:noProof/>
              </w:rPr>
              <w:t>.</w:t>
            </w:r>
            <w:r>
              <w:rPr>
                <w:bCs/>
                <w:i/>
                <w:noProof/>
              </w:rPr>
              <w:t>09</w:t>
            </w:r>
            <w:r w:rsidR="005241A2" w:rsidRPr="002D3C4B">
              <w:rPr>
                <w:bCs/>
                <w:i/>
                <w:noProof/>
              </w:rPr>
              <w:t>.202</w:t>
            </w:r>
            <w:r>
              <w:rPr>
                <w:bCs/>
                <w:i/>
                <w:noProof/>
              </w:rPr>
              <w:t>5</w:t>
            </w:r>
          </w:p>
        </w:tc>
      </w:tr>
      <w:tr w:rsidR="005241A2" w:rsidRPr="00DE2BC0" w14:paraId="7AAD4E64" w14:textId="77777777" w:rsidTr="005241A2">
        <w:trPr>
          <w:trHeight w:val="1982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14:paraId="4176373A" w14:textId="77777777" w:rsidR="005241A2" w:rsidRPr="00AB734E" w:rsidRDefault="005241A2" w:rsidP="005241A2">
            <w:pPr>
              <w:spacing w:before="120" w:after="120"/>
              <w:rPr>
                <w:b/>
                <w:i/>
              </w:rPr>
            </w:pPr>
            <w:r w:rsidRPr="00AB734E">
              <w:rPr>
                <w:b/>
                <w:i/>
              </w:rPr>
              <w:t>Souhrn</w:t>
            </w:r>
          </w:p>
          <w:p w14:paraId="6F317100" w14:textId="22489BE1" w:rsidR="005241A2" w:rsidRDefault="005241A2" w:rsidP="005241A2">
            <w:pPr>
              <w:keepNext/>
              <w:tabs>
                <w:tab w:val="left" w:pos="-26"/>
                <w:tab w:val="left" w:pos="900"/>
              </w:tabs>
              <w:spacing w:after="120"/>
            </w:pPr>
            <w:r>
              <w:t>Radě pro výzkum, vývoj a inovace (dále jen „Rada“) je předložen</w:t>
            </w:r>
            <w:r w:rsidR="005F41A5">
              <w:t>a informace o akci: „</w:t>
            </w:r>
            <w:r w:rsidR="005F41A5" w:rsidRPr="005F41A5">
              <w:rPr>
                <w:i/>
                <w:iCs/>
              </w:rPr>
              <w:t>Jak dát smysl otevřené vědě? Veřejné slyšení k principům a praktikám správy dat, režimům publikování a zpřístupňování vědy veřejnosti</w:t>
            </w:r>
            <w:r w:rsidR="005F41A5">
              <w:rPr>
                <w:i/>
                <w:iCs/>
              </w:rPr>
              <w:t>“</w:t>
            </w:r>
            <w:r w:rsidR="00F52229">
              <w:rPr>
                <w:i/>
                <w:iCs/>
              </w:rPr>
              <w:t xml:space="preserve"> </w:t>
            </w:r>
            <w:r w:rsidR="00F52229">
              <w:t>s termínem konání</w:t>
            </w:r>
            <w:r w:rsidR="005F41A5">
              <w:t xml:space="preserve"> 12. září 2025 v prostorách Hlavní budovy Akademie věd České republiky.</w:t>
            </w:r>
          </w:p>
          <w:p w14:paraId="6DD44F07" w14:textId="531513C7" w:rsidR="005F41A5" w:rsidRDefault="00F52229" w:rsidP="005241A2">
            <w:pPr>
              <w:keepNext/>
              <w:tabs>
                <w:tab w:val="left" w:pos="-26"/>
                <w:tab w:val="left" w:pos="900"/>
              </w:tabs>
              <w:spacing w:after="120"/>
            </w:pPr>
            <w:r>
              <w:t>Akce byla uspořádána s c</w:t>
            </w:r>
            <w:r w:rsidR="005F41A5" w:rsidRPr="005F41A5">
              <w:t>ílem vytvořit prostor pro diskusi k vybraným pilířům otevřené vědy (otevřený přístup, otevřená data, zpřístupnění vědy veřejnosti)</w:t>
            </w:r>
            <w:r w:rsidR="005F41A5">
              <w:t xml:space="preserve"> </w:t>
            </w:r>
            <w:r w:rsidR="005F41A5" w:rsidRPr="005F41A5">
              <w:t>nejen mezi zástupci klíčových aktérů, kteří se podílejí na implementaci principů otevřené vědy v českém vědeckém provozu, ale i širokou akademickou veřejností. Diskuse se kromě shrnutí probíhajícího vývoje v oblasti otevřené vědy a výhledů do</w:t>
            </w:r>
            <w:r w:rsidR="00A04E7D">
              <w:t> </w:t>
            </w:r>
            <w:r w:rsidR="005F41A5" w:rsidRPr="005F41A5">
              <w:t>budoucna věnova</w:t>
            </w:r>
            <w:r w:rsidR="005F41A5">
              <w:t xml:space="preserve">la </w:t>
            </w:r>
            <w:r w:rsidR="005F41A5" w:rsidRPr="005F41A5">
              <w:t>také souvislostem principů otevřené vědy s vědeckou integritou a etikou, důvěryhodností vědy, institucionální odolností, novými technologiemi digitalizace a</w:t>
            </w:r>
            <w:r w:rsidR="00A04E7D">
              <w:t> </w:t>
            </w:r>
            <w:r w:rsidR="005F41A5" w:rsidRPr="005F41A5">
              <w:t>mezinárodnímu kontextu.</w:t>
            </w:r>
          </w:p>
          <w:p w14:paraId="6B242CE4" w14:textId="0C4CA528" w:rsidR="00446E32" w:rsidRDefault="005069B5" w:rsidP="008B68A2">
            <w:pPr>
              <w:keepNext/>
              <w:tabs>
                <w:tab w:val="left" w:pos="-26"/>
                <w:tab w:val="left" w:pos="900"/>
              </w:tabs>
              <w:spacing w:after="120"/>
            </w:pPr>
            <w:r>
              <w:t>S</w:t>
            </w:r>
            <w:r w:rsidR="008B68A2">
              <w:t>etkání p</w:t>
            </w:r>
            <w:r>
              <w:t>roběhlo</w:t>
            </w:r>
            <w:r w:rsidR="008B68A2">
              <w:t xml:space="preserve"> v rámci projektu OP JAK AMULET</w:t>
            </w:r>
            <w:r>
              <w:t xml:space="preserve"> (</w:t>
            </w:r>
            <w:r w:rsidRPr="005069B5">
              <w:t>Advanced MUltiscaLe materials for key Enabling Technologies)</w:t>
            </w:r>
            <w:r w:rsidR="008B68A2">
              <w:t xml:space="preserve"> pod záštitou předsedy AV ČR a Vědecké rady AV ČR</w:t>
            </w:r>
            <w:r w:rsidR="00446E32">
              <w:t>.</w:t>
            </w:r>
            <w:r w:rsidR="002F7317">
              <w:t xml:space="preserve"> Záznam ze streamovaných část</w:t>
            </w:r>
            <w:r w:rsidR="008D33F7">
              <w:t>í</w:t>
            </w:r>
            <w:r w:rsidR="002F7317">
              <w:t xml:space="preserve"> akce je dostupný na: </w:t>
            </w:r>
          </w:p>
          <w:p w14:paraId="2EF2CEFE" w14:textId="77777777" w:rsidR="002F7317" w:rsidRDefault="002F7317" w:rsidP="005241A2">
            <w:pPr>
              <w:keepNext/>
              <w:tabs>
                <w:tab w:val="left" w:pos="-26"/>
                <w:tab w:val="left" w:pos="900"/>
              </w:tabs>
              <w:spacing w:after="120"/>
            </w:pPr>
            <w:hyperlink r:id="rId11" w:tooltip="Původní adresa URL: https://www.youtube.com/watch?v=NYVQ2cNmQP4&amp;t=3865s. Na tento odkaz klikněte nebo klepněte, pokud ho považujete za důvěryhodný." w:history="1">
              <w:r w:rsidRPr="002F7317">
                <w:rPr>
                  <w:rStyle w:val="Hypertextovodkaz"/>
                </w:rPr>
                <w:t>https://www.youtube.com/watch?v=NYVQ2cNmQP4&amp;t=3865s</w:t>
              </w:r>
            </w:hyperlink>
          </w:p>
          <w:p w14:paraId="30B34BDC" w14:textId="5D29FD99" w:rsidR="005241A2" w:rsidRPr="002F7317" w:rsidRDefault="00446E32" w:rsidP="005241A2">
            <w:pPr>
              <w:keepNext/>
              <w:tabs>
                <w:tab w:val="left" w:pos="-26"/>
                <w:tab w:val="left" w:pos="900"/>
              </w:tabs>
              <w:spacing w:after="120"/>
            </w:pPr>
            <w:r w:rsidRPr="00B903E2">
              <w:rPr>
                <w:b/>
                <w:bCs/>
              </w:rPr>
              <w:t xml:space="preserve">Součástí bodu je debata o tématu OA a finanční náročnosti implementace OA v ČR v kontextu stávající alokace a způsobu využívání veřejných prostředků na vědu, výzkum a inovace a o případném mezinárodním srovnání v rámci zemí EU a nastavení pravidel vztahujících se k OA ve výzvách OP JAK. </w:t>
            </w:r>
          </w:p>
          <w:p w14:paraId="56C91166" w14:textId="5304386D" w:rsidR="006B0829" w:rsidRPr="009719F6" w:rsidRDefault="006B0829" w:rsidP="005241A2">
            <w:pPr>
              <w:keepNext/>
              <w:tabs>
                <w:tab w:val="left" w:pos="-26"/>
                <w:tab w:val="left" w:pos="900"/>
              </w:tabs>
              <w:spacing w:after="120"/>
            </w:pPr>
            <w:r w:rsidRPr="00B903E2">
              <w:t>Na program 415. zasedání Rady, které je plánováno na 23. října 2025, bude zařazen bod, který</w:t>
            </w:r>
            <w:r w:rsidR="00B92360">
              <w:t> </w:t>
            </w:r>
            <w:r w:rsidRPr="00B903E2">
              <w:t>se</w:t>
            </w:r>
            <w:r w:rsidR="00B92360">
              <w:t> </w:t>
            </w:r>
            <w:r w:rsidRPr="00B903E2">
              <w:t xml:space="preserve">bude týkat problematiky OA za účasti zástupců MŠMT ČR a NTK. </w:t>
            </w:r>
          </w:p>
        </w:tc>
      </w:tr>
      <w:tr w:rsidR="005241A2" w:rsidRPr="00DE2BC0" w14:paraId="0F2E0D36" w14:textId="77777777" w:rsidTr="005241A2">
        <w:trPr>
          <w:trHeight w:val="964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23598734" w14:textId="77777777" w:rsidR="005241A2" w:rsidRDefault="005241A2" w:rsidP="005241A2">
            <w:pPr>
              <w:spacing w:before="120" w:after="120"/>
              <w:rPr>
                <w:b/>
                <w:i/>
              </w:rPr>
            </w:pPr>
            <w:r w:rsidRPr="00CE7925">
              <w:rPr>
                <w:b/>
                <w:i/>
              </w:rPr>
              <w:t>Provede</w:t>
            </w:r>
          </w:p>
          <w:p w14:paraId="3CA48924" w14:textId="273716B5" w:rsidR="005241A2" w:rsidRPr="00CE7925" w:rsidRDefault="005241A2" w:rsidP="005241A2">
            <w:pPr>
              <w:spacing w:before="120" w:after="120"/>
              <w:rPr>
                <w:b/>
                <w:bCs/>
                <w:i/>
              </w:rPr>
            </w:pPr>
            <w:r>
              <w:t>Sekce pro vědu, výzkum a inovace</w:t>
            </w:r>
          </w:p>
        </w:tc>
      </w:tr>
    </w:tbl>
    <w:p w14:paraId="7DCA7EA4" w14:textId="5E3A4784" w:rsidR="00144F5B" w:rsidRDefault="00144F5B" w:rsidP="00E62942">
      <w:pPr>
        <w:pStyle w:val="Bezmezer"/>
        <w:jc w:val="left"/>
      </w:pPr>
    </w:p>
    <w:p w14:paraId="67A5831D" w14:textId="5E01A271" w:rsidR="00E62942" w:rsidRDefault="00E62942" w:rsidP="00E62942">
      <w:pPr>
        <w:pStyle w:val="Bezmezer"/>
        <w:jc w:val="left"/>
      </w:pPr>
    </w:p>
    <w:sectPr w:rsidR="00E62942" w:rsidSect="001A03D6"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4C895" w14:textId="77777777" w:rsidR="000D22A9" w:rsidRDefault="000D22A9" w:rsidP="00604B45">
      <w:r>
        <w:separator/>
      </w:r>
    </w:p>
  </w:endnote>
  <w:endnote w:type="continuationSeparator" w:id="0">
    <w:p w14:paraId="2AFE60D9" w14:textId="77777777" w:rsidR="000D22A9" w:rsidRDefault="000D22A9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E11C2DC" w14:textId="7C6212BE" w:rsidR="00D266C9" w:rsidRPr="00144F5B" w:rsidRDefault="00D53021">
            <w:pPr>
              <w:pStyle w:val="Zpat"/>
              <w:rPr>
                <w:sz w:val="16"/>
                <w:szCs w:val="16"/>
              </w:rPr>
            </w:pPr>
            <w:r w:rsidRPr="00144F5B">
              <w:rPr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2620EE" wp14:editId="29CA28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6E13E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144F5B" w:rsidRPr="00144F5B">
              <w:rPr>
                <w:sz w:val="16"/>
                <w:szCs w:val="16"/>
              </w:rPr>
              <w:t>4**/Axx</w:t>
            </w:r>
            <w:r w:rsidR="00144F5B">
              <w:t xml:space="preserve"> </w:t>
            </w:r>
            <w:r w:rsidR="00144F5B" w:rsidRPr="00144F5B">
              <w:rPr>
                <w:sz w:val="16"/>
                <w:szCs w:val="16"/>
              </w:rPr>
              <w:t>Název materiálu</w:t>
            </w:r>
            <w:r w:rsidR="00144F5B">
              <w:tab/>
            </w:r>
            <w:r w:rsidR="00144F5B">
              <w:tab/>
            </w:r>
            <w:r w:rsidR="00D266C9" w:rsidRPr="004E6BE1">
              <w:rPr>
                <w:sz w:val="16"/>
                <w:szCs w:val="16"/>
              </w:rPr>
              <w:t xml:space="preserve">Stránka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PAGE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D266C9" w:rsidRPr="004E6BE1">
              <w:rPr>
                <w:sz w:val="16"/>
                <w:szCs w:val="16"/>
              </w:rPr>
              <w:t xml:space="preserve"> </w:t>
            </w:r>
            <w:r w:rsidR="004E6BE1" w:rsidRPr="004E6BE1">
              <w:rPr>
                <w:sz w:val="16"/>
                <w:szCs w:val="16"/>
              </w:rPr>
              <w:t xml:space="preserve">(celkem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NUMPAGES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4E6BE1" w:rsidRPr="004E6BE1">
              <w:rPr>
                <w:sz w:val="16"/>
                <w:szCs w:val="16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F3" w14:textId="77777777" w:rsidR="00E56D04" w:rsidRPr="00E56D04" w:rsidRDefault="00D53021" w:rsidP="00126D7E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271372" wp14:editId="4D21D47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7353B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</w:p>
  <w:p w14:paraId="4EC18CB5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5E3A5A" w14:textId="77777777" w:rsidR="000D22A9" w:rsidRDefault="000D22A9" w:rsidP="00604B45">
      <w:r>
        <w:separator/>
      </w:r>
    </w:p>
  </w:footnote>
  <w:footnote w:type="continuationSeparator" w:id="0">
    <w:p w14:paraId="39108F48" w14:textId="77777777" w:rsidR="000D22A9" w:rsidRDefault="000D22A9" w:rsidP="0060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486B" w14:textId="77777777" w:rsidR="006F1181" w:rsidRDefault="006F1181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4B72090C" wp14:editId="70D1FEC1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05807">
    <w:abstractNumId w:val="3"/>
  </w:num>
  <w:num w:numId="2" w16cid:durableId="2081907147">
    <w:abstractNumId w:val="9"/>
  </w:num>
  <w:num w:numId="3" w16cid:durableId="1893038338">
    <w:abstractNumId w:val="4"/>
  </w:num>
  <w:num w:numId="4" w16cid:durableId="1786805665">
    <w:abstractNumId w:val="6"/>
  </w:num>
  <w:num w:numId="5" w16cid:durableId="1264728757">
    <w:abstractNumId w:val="10"/>
  </w:num>
  <w:num w:numId="6" w16cid:durableId="1901821760">
    <w:abstractNumId w:val="7"/>
  </w:num>
  <w:num w:numId="7" w16cid:durableId="124931050">
    <w:abstractNumId w:val="1"/>
  </w:num>
  <w:num w:numId="8" w16cid:durableId="42677174">
    <w:abstractNumId w:val="2"/>
  </w:num>
  <w:num w:numId="9" w16cid:durableId="2051147294">
    <w:abstractNumId w:val="11"/>
  </w:num>
  <w:num w:numId="10" w16cid:durableId="1837643966">
    <w:abstractNumId w:val="8"/>
  </w:num>
  <w:num w:numId="11" w16cid:durableId="796532185">
    <w:abstractNumId w:val="0"/>
  </w:num>
  <w:num w:numId="12" w16cid:durableId="20330646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BC"/>
    <w:rsid w:val="00004124"/>
    <w:rsid w:val="000171FF"/>
    <w:rsid w:val="0002007D"/>
    <w:rsid w:val="00025617"/>
    <w:rsid w:val="00035ED7"/>
    <w:rsid w:val="000467DA"/>
    <w:rsid w:val="000511C2"/>
    <w:rsid w:val="00075C1E"/>
    <w:rsid w:val="0008087D"/>
    <w:rsid w:val="000859E4"/>
    <w:rsid w:val="0009458F"/>
    <w:rsid w:val="000A097E"/>
    <w:rsid w:val="000A6385"/>
    <w:rsid w:val="000C609C"/>
    <w:rsid w:val="000C6A0C"/>
    <w:rsid w:val="000D22A9"/>
    <w:rsid w:val="000D7556"/>
    <w:rsid w:val="000E1B1B"/>
    <w:rsid w:val="000E7A12"/>
    <w:rsid w:val="001044CD"/>
    <w:rsid w:val="00126D7E"/>
    <w:rsid w:val="00133C49"/>
    <w:rsid w:val="00144F5B"/>
    <w:rsid w:val="00163B03"/>
    <w:rsid w:val="00171EF3"/>
    <w:rsid w:val="00191B49"/>
    <w:rsid w:val="001A03D6"/>
    <w:rsid w:val="001A6A82"/>
    <w:rsid w:val="001C1526"/>
    <w:rsid w:val="001C2E95"/>
    <w:rsid w:val="001C6179"/>
    <w:rsid w:val="001D5F3B"/>
    <w:rsid w:val="001E1924"/>
    <w:rsid w:val="001E54AF"/>
    <w:rsid w:val="001F517B"/>
    <w:rsid w:val="002107E9"/>
    <w:rsid w:val="002241CF"/>
    <w:rsid w:val="002315FF"/>
    <w:rsid w:val="00242E30"/>
    <w:rsid w:val="00282845"/>
    <w:rsid w:val="00293AEA"/>
    <w:rsid w:val="002A2FD0"/>
    <w:rsid w:val="002C0726"/>
    <w:rsid w:val="002D3C4B"/>
    <w:rsid w:val="002F19C4"/>
    <w:rsid w:val="002F4F5C"/>
    <w:rsid w:val="002F7317"/>
    <w:rsid w:val="00322DAC"/>
    <w:rsid w:val="00352CA6"/>
    <w:rsid w:val="00352DD8"/>
    <w:rsid w:val="00362F82"/>
    <w:rsid w:val="00383A75"/>
    <w:rsid w:val="003870AA"/>
    <w:rsid w:val="003906D0"/>
    <w:rsid w:val="003976A0"/>
    <w:rsid w:val="003C04E9"/>
    <w:rsid w:val="003C6885"/>
    <w:rsid w:val="003D64A2"/>
    <w:rsid w:val="00402C2B"/>
    <w:rsid w:val="00420B23"/>
    <w:rsid w:val="00423662"/>
    <w:rsid w:val="0042761D"/>
    <w:rsid w:val="004354D5"/>
    <w:rsid w:val="004361D9"/>
    <w:rsid w:val="00441B47"/>
    <w:rsid w:val="00444127"/>
    <w:rsid w:val="00446E32"/>
    <w:rsid w:val="00447ABC"/>
    <w:rsid w:val="00456550"/>
    <w:rsid w:val="00486CA7"/>
    <w:rsid w:val="004970B3"/>
    <w:rsid w:val="004C5366"/>
    <w:rsid w:val="004E6BE1"/>
    <w:rsid w:val="0050619B"/>
    <w:rsid w:val="005069B5"/>
    <w:rsid w:val="00510EA4"/>
    <w:rsid w:val="00512835"/>
    <w:rsid w:val="00515555"/>
    <w:rsid w:val="005241A2"/>
    <w:rsid w:val="00524CE5"/>
    <w:rsid w:val="00537022"/>
    <w:rsid w:val="005628A2"/>
    <w:rsid w:val="00564B89"/>
    <w:rsid w:val="0057409A"/>
    <w:rsid w:val="005964E0"/>
    <w:rsid w:val="005A4C59"/>
    <w:rsid w:val="005C4D50"/>
    <w:rsid w:val="005D1635"/>
    <w:rsid w:val="005F41A5"/>
    <w:rsid w:val="00602F23"/>
    <w:rsid w:val="00604B45"/>
    <w:rsid w:val="006079D1"/>
    <w:rsid w:val="006255C0"/>
    <w:rsid w:val="00627E3D"/>
    <w:rsid w:val="00635765"/>
    <w:rsid w:val="00663232"/>
    <w:rsid w:val="006878F0"/>
    <w:rsid w:val="006B0829"/>
    <w:rsid w:val="006B2B00"/>
    <w:rsid w:val="006C3F7F"/>
    <w:rsid w:val="006F1181"/>
    <w:rsid w:val="007007A8"/>
    <w:rsid w:val="0070637D"/>
    <w:rsid w:val="0071047A"/>
    <w:rsid w:val="00722063"/>
    <w:rsid w:val="0072266C"/>
    <w:rsid w:val="00733976"/>
    <w:rsid w:val="00735DE8"/>
    <w:rsid w:val="00741D89"/>
    <w:rsid w:val="007439F1"/>
    <w:rsid w:val="00751D69"/>
    <w:rsid w:val="00766AC5"/>
    <w:rsid w:val="00786AE9"/>
    <w:rsid w:val="007A407A"/>
    <w:rsid w:val="007E2572"/>
    <w:rsid w:val="007E3696"/>
    <w:rsid w:val="007E5BD4"/>
    <w:rsid w:val="007E6CA2"/>
    <w:rsid w:val="0080171F"/>
    <w:rsid w:val="00803160"/>
    <w:rsid w:val="008044E8"/>
    <w:rsid w:val="00811AC9"/>
    <w:rsid w:val="008120CD"/>
    <w:rsid w:val="0081613E"/>
    <w:rsid w:val="00840107"/>
    <w:rsid w:val="0084124B"/>
    <w:rsid w:val="00841C3F"/>
    <w:rsid w:val="008517B5"/>
    <w:rsid w:val="00855B4C"/>
    <w:rsid w:val="00871B74"/>
    <w:rsid w:val="00882FA5"/>
    <w:rsid w:val="008863A6"/>
    <w:rsid w:val="00887F71"/>
    <w:rsid w:val="0089638D"/>
    <w:rsid w:val="008A3DC7"/>
    <w:rsid w:val="008A6944"/>
    <w:rsid w:val="008B60F3"/>
    <w:rsid w:val="008B68A2"/>
    <w:rsid w:val="008D33F7"/>
    <w:rsid w:val="008E557D"/>
    <w:rsid w:val="008F6521"/>
    <w:rsid w:val="0090230E"/>
    <w:rsid w:val="0090482F"/>
    <w:rsid w:val="0090637C"/>
    <w:rsid w:val="0091473F"/>
    <w:rsid w:val="00915B70"/>
    <w:rsid w:val="009202D9"/>
    <w:rsid w:val="00945CB2"/>
    <w:rsid w:val="0095235B"/>
    <w:rsid w:val="0095565E"/>
    <w:rsid w:val="00990B90"/>
    <w:rsid w:val="009922C8"/>
    <w:rsid w:val="009B0370"/>
    <w:rsid w:val="009E228F"/>
    <w:rsid w:val="00A04E7D"/>
    <w:rsid w:val="00A31634"/>
    <w:rsid w:val="00A640A5"/>
    <w:rsid w:val="00A65C3C"/>
    <w:rsid w:val="00A75A40"/>
    <w:rsid w:val="00A822FF"/>
    <w:rsid w:val="00A84F49"/>
    <w:rsid w:val="00AA5C0F"/>
    <w:rsid w:val="00AB5597"/>
    <w:rsid w:val="00AC5DC9"/>
    <w:rsid w:val="00AE1069"/>
    <w:rsid w:val="00AE7303"/>
    <w:rsid w:val="00AF01A5"/>
    <w:rsid w:val="00AF502C"/>
    <w:rsid w:val="00AF5DE4"/>
    <w:rsid w:val="00B01CFE"/>
    <w:rsid w:val="00B20ED5"/>
    <w:rsid w:val="00B24765"/>
    <w:rsid w:val="00B33F61"/>
    <w:rsid w:val="00B415B3"/>
    <w:rsid w:val="00B445C0"/>
    <w:rsid w:val="00B45E88"/>
    <w:rsid w:val="00B67680"/>
    <w:rsid w:val="00B73C81"/>
    <w:rsid w:val="00B80711"/>
    <w:rsid w:val="00B903E2"/>
    <w:rsid w:val="00B92360"/>
    <w:rsid w:val="00BB2FAC"/>
    <w:rsid w:val="00BC1D89"/>
    <w:rsid w:val="00BC5C1F"/>
    <w:rsid w:val="00BC7F94"/>
    <w:rsid w:val="00BD17A6"/>
    <w:rsid w:val="00BE4E17"/>
    <w:rsid w:val="00C05BAF"/>
    <w:rsid w:val="00C27666"/>
    <w:rsid w:val="00C4014E"/>
    <w:rsid w:val="00C5006D"/>
    <w:rsid w:val="00C54A7F"/>
    <w:rsid w:val="00C674B4"/>
    <w:rsid w:val="00C71728"/>
    <w:rsid w:val="00C7658A"/>
    <w:rsid w:val="00C77162"/>
    <w:rsid w:val="00C84197"/>
    <w:rsid w:val="00C91565"/>
    <w:rsid w:val="00C92FC9"/>
    <w:rsid w:val="00CA676C"/>
    <w:rsid w:val="00CC1FD9"/>
    <w:rsid w:val="00CD5D12"/>
    <w:rsid w:val="00CE2C4E"/>
    <w:rsid w:val="00CE70B9"/>
    <w:rsid w:val="00D0212E"/>
    <w:rsid w:val="00D061BA"/>
    <w:rsid w:val="00D266C9"/>
    <w:rsid w:val="00D26EA4"/>
    <w:rsid w:val="00D321D6"/>
    <w:rsid w:val="00D36080"/>
    <w:rsid w:val="00D36218"/>
    <w:rsid w:val="00D43F7D"/>
    <w:rsid w:val="00D4462C"/>
    <w:rsid w:val="00D53021"/>
    <w:rsid w:val="00D74354"/>
    <w:rsid w:val="00D85AA0"/>
    <w:rsid w:val="00D86AA3"/>
    <w:rsid w:val="00D94221"/>
    <w:rsid w:val="00DA045F"/>
    <w:rsid w:val="00DC2129"/>
    <w:rsid w:val="00DC5C64"/>
    <w:rsid w:val="00DD3E78"/>
    <w:rsid w:val="00DE4F80"/>
    <w:rsid w:val="00E0171D"/>
    <w:rsid w:val="00E06D18"/>
    <w:rsid w:val="00E304A2"/>
    <w:rsid w:val="00E373B9"/>
    <w:rsid w:val="00E43035"/>
    <w:rsid w:val="00E47EBE"/>
    <w:rsid w:val="00E56D04"/>
    <w:rsid w:val="00E62942"/>
    <w:rsid w:val="00E635EE"/>
    <w:rsid w:val="00E7321C"/>
    <w:rsid w:val="00E84580"/>
    <w:rsid w:val="00E8657D"/>
    <w:rsid w:val="00EB05F2"/>
    <w:rsid w:val="00EB0799"/>
    <w:rsid w:val="00EB55AA"/>
    <w:rsid w:val="00EC0198"/>
    <w:rsid w:val="00EC2267"/>
    <w:rsid w:val="00ED2ED3"/>
    <w:rsid w:val="00ED7E4C"/>
    <w:rsid w:val="00EE66EE"/>
    <w:rsid w:val="00EE745A"/>
    <w:rsid w:val="00EF4F64"/>
    <w:rsid w:val="00F145AB"/>
    <w:rsid w:val="00F3487E"/>
    <w:rsid w:val="00F47E34"/>
    <w:rsid w:val="00F52229"/>
    <w:rsid w:val="00F70093"/>
    <w:rsid w:val="00F70CB0"/>
    <w:rsid w:val="00F84D65"/>
    <w:rsid w:val="00F86F06"/>
    <w:rsid w:val="00FA009E"/>
    <w:rsid w:val="00FA2664"/>
    <w:rsid w:val="00FA3D90"/>
    <w:rsid w:val="00FB668D"/>
    <w:rsid w:val="00FD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EC56C"/>
  <w15:chartTrackingRefBased/>
  <w15:docId w15:val="{68A97BBC-F5C8-40BC-9CBD-A98B5572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CA6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uiPriority w:val="34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04.safelinks.protection.outlook.com/?url=https%3A%2F%2Fwww.youtube.com%2Fwatch%3Fv%3DNYVQ2cNmQP4%26t%3D3865s&amp;data=05%7C02%7CAles.Briza%40vlada.gov.cz%7Cb63c15b81bfd4b95986908ddf457f0e7%7C29292cca67184b9aa0366a2467c9b190%7C0%7C0%7C638935380716949184%7CUnknown%7CTWFpbGZsb3d8eyJFbXB0eU1hcGkiOnRydWUsIlYiOiIwLjAuMDAwMCIsIlAiOiJXaW4zMiIsIkFOIjoiTWFpbCIsIldUIjoyfQ%3D%3D%7C0%7C%7C%7C&amp;sdata=Ftc3UrTBfi4NIufb%2BJU9F39FFXOf%2FpzkiKq8losRhF4%3D&amp;reserved=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el\Downloads\&#352;ablony\Intern&#237;%20sd&#283;len&#237;_20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3D658F-9452-4D1E-B96C-23FE4A2C5F0E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customXml/itemProps2.xml><?xml version="1.0" encoding="utf-8"?>
<ds:datastoreItem xmlns:ds="http://schemas.openxmlformats.org/officeDocument/2006/customXml" ds:itemID="{A46571B6-3926-4969-AAEE-B272784F28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sdělení_2025.dotx</Template>
  <TotalTime>12</TotalTime>
  <Pages>1</Pages>
  <Words>355</Words>
  <Characters>2097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Vorel Jan</dc:creator>
  <cp:keywords/>
  <dc:description/>
  <cp:lastModifiedBy>Lenka Schäfer</cp:lastModifiedBy>
  <cp:revision>11</cp:revision>
  <cp:lastPrinted>2025-02-25T12:21:00Z</cp:lastPrinted>
  <dcterms:created xsi:type="dcterms:W3CDTF">2025-09-11T07:44:00Z</dcterms:created>
  <dcterms:modified xsi:type="dcterms:W3CDTF">2025-10-14T07:57:00Z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